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BF690" w14:textId="77777777" w:rsidR="00372EC5" w:rsidRDefault="00243100">
      <w:pPr>
        <w:pStyle w:val="Agency-heading-1"/>
        <w:rPr>
          <w:lang w:val="pl"/>
        </w:rPr>
      </w:pPr>
      <w:r>
        <w:rPr>
          <w:lang w:val="pl"/>
        </w:rPr>
        <w:t>WSPARCIE PODNOSZENIA JAKOŚCI EDUKACJI WŁĄCZAJĄCEJ W POLSCE</w:t>
      </w:r>
    </w:p>
    <w:p w14:paraId="7E8EC6C1" w14:textId="77777777" w:rsidR="00372EC5" w:rsidRDefault="00243100">
      <w:pPr>
        <w:pStyle w:val="Agency-heading-2"/>
        <w:rPr>
          <w:bCs/>
          <w:lang w:val="pl"/>
        </w:rPr>
      </w:pPr>
      <w:r>
        <w:rPr>
          <w:bCs/>
          <w:lang w:val="pl"/>
        </w:rPr>
        <w:t xml:space="preserve">Zarys wstępnych rekomendacji </w:t>
      </w:r>
    </w:p>
    <w:p w14:paraId="466BCF27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>Niniejszy krótki dokument stanowi wyciąg z pełnej wersji roboczych rekomendacji będących jednym z produktów projektu realizowanego w Polsce w ramach Programu Wspierania Reform Strukturalnych Komisji Europejskiej i przedstawia zarys wstępnych rekomendacji. Szczegółowe wyjaśnienie przesłanek stojących za proponowanymi rekomendacjami znajduje się w pełnym dokumencie wstępnych rekomendacji i powiązanych z nim załącznikach.</w:t>
      </w:r>
    </w:p>
    <w:p w14:paraId="30F6DA85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szCs w:val="24"/>
          <w:lang w:val="pl"/>
        </w:rPr>
        <w:t xml:space="preserve">Poszczególne rekomendacje odnoszą się do </w:t>
      </w:r>
      <w:r w:rsidR="00B66959">
        <w:rPr>
          <w:lang w:val="pl"/>
        </w:rPr>
        <w:t>róż</w:t>
      </w:r>
      <w:r>
        <w:rPr>
          <w:lang w:val="pl"/>
        </w:rPr>
        <w:t xml:space="preserve">nych obszarów systemu edukacji włączającej uwzględnionych w pracach analitycznych. Rekomendacje </w:t>
      </w:r>
      <w:r w:rsidR="00B66959" w:rsidRPr="00B66959">
        <w:rPr>
          <w:lang w:val="pl"/>
        </w:rPr>
        <w:t>mają charakter</w:t>
      </w:r>
      <w:r w:rsidRPr="00B66959">
        <w:rPr>
          <w:lang w:val="pl"/>
        </w:rPr>
        <w:t xml:space="preserve"> strategi</w:t>
      </w:r>
      <w:r w:rsidR="00B66959">
        <w:rPr>
          <w:lang w:val="pl"/>
        </w:rPr>
        <w:t>i</w:t>
      </w:r>
      <w:r>
        <w:rPr>
          <w:lang w:val="pl"/>
        </w:rPr>
        <w:t xml:space="preserve"> op</w:t>
      </w:r>
      <w:r w:rsidR="00B66959">
        <w:rPr>
          <w:lang w:val="pl"/>
        </w:rPr>
        <w:t>a</w:t>
      </w:r>
      <w:r>
        <w:rPr>
          <w:lang w:val="pl"/>
        </w:rPr>
        <w:t>r</w:t>
      </w:r>
      <w:r w:rsidR="00B66959">
        <w:rPr>
          <w:lang w:val="pl"/>
        </w:rPr>
        <w:t>tych</w:t>
      </w:r>
      <w:r>
        <w:rPr>
          <w:lang w:val="pl"/>
        </w:rPr>
        <w:t xml:space="preserve"> na mocnych stronach polskiego systemu oświaty i zwracają uwagę na kwestie wymagające refleksji.</w:t>
      </w:r>
    </w:p>
    <w:p w14:paraId="0929E182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color w:val="00000A"/>
          <w:lang w:val="pl"/>
        </w:rPr>
        <w:t>Rekomendacje dotyczące każdego obszaru są wzajemnie połączone i uzupełniają się.</w:t>
      </w:r>
    </w:p>
    <w:p w14:paraId="26BCECC1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color w:val="00000A"/>
          <w:lang w:val="pl"/>
        </w:rPr>
        <w:t xml:space="preserve">Należy również zauważyć, że niniejsze rekomendacje nie są wyczerpujące. Zostały one zidentyfikowane w drodze „mapowania” jako </w:t>
      </w:r>
      <w:r>
        <w:rPr>
          <w:i/>
          <w:iCs/>
          <w:color w:val="00000A"/>
          <w:lang w:val="pl"/>
        </w:rPr>
        <w:t xml:space="preserve">aktualne </w:t>
      </w:r>
      <w:r>
        <w:rPr>
          <w:color w:val="00000A"/>
          <w:lang w:val="pl"/>
        </w:rPr>
        <w:t xml:space="preserve">priorytety działań w zakresie prawa i polityki edukacyjnej. </w:t>
      </w:r>
      <w:r>
        <w:rPr>
          <w:lang w:val="pl"/>
        </w:rPr>
        <w:t xml:space="preserve">Można je uznać za najistotniejsze czynniki mające potencjalnie największy wpływ na promowanie zmian systemowych i </w:t>
      </w:r>
      <w:r w:rsidR="00B66959">
        <w:rPr>
          <w:lang w:val="pl"/>
        </w:rPr>
        <w:t>rozwó</w:t>
      </w:r>
      <w:r>
        <w:rPr>
          <w:lang w:val="pl"/>
        </w:rPr>
        <w:t>j systemu edukacji w perspektywie długoterminowej.</w:t>
      </w:r>
    </w:p>
    <w:p w14:paraId="38D36841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color w:val="00000A"/>
          <w:lang w:val="pl"/>
        </w:rPr>
        <w:t xml:space="preserve">Przedstawione w niniejszym dokumencie wstępne rekomendacje stanowią wyłącznie propozycję i wymagają pogłębionej dyskusji oraz dalszych prac. </w:t>
      </w:r>
    </w:p>
    <w:p w14:paraId="21534BAC" w14:textId="77777777" w:rsidR="00372EC5" w:rsidRDefault="00243100">
      <w:pPr>
        <w:pStyle w:val="Agency-heading-3"/>
        <w:rPr>
          <w:lang w:val="pl-PL"/>
        </w:rPr>
      </w:pPr>
      <w:r>
        <w:rPr>
          <w:bCs/>
          <w:lang w:val="pl"/>
        </w:rPr>
        <w:t>Rekomendacje dotyczące polityki edukacji włączającej</w:t>
      </w:r>
    </w:p>
    <w:p w14:paraId="138AD8F5" w14:textId="716D208D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1. Polityka edukacyjna powinna </w:t>
      </w:r>
      <w:r w:rsidR="00B66959">
        <w:rPr>
          <w:bCs w:val="0"/>
          <w:iCs/>
          <w:lang w:val="pl"/>
        </w:rPr>
        <w:t xml:space="preserve">określać </w:t>
      </w:r>
      <w:r>
        <w:rPr>
          <w:bCs w:val="0"/>
          <w:iCs/>
          <w:lang w:val="pl"/>
        </w:rPr>
        <w:t xml:space="preserve">jasną koncepcję edukacji </w:t>
      </w:r>
      <w:r w:rsidR="00925CA2">
        <w:rPr>
          <w:bCs w:val="0"/>
          <w:iCs/>
          <w:lang w:val="pl"/>
        </w:rPr>
        <w:t>włączającej, jako</w:t>
      </w:r>
      <w:r>
        <w:rPr>
          <w:bCs w:val="0"/>
          <w:iCs/>
          <w:lang w:val="pl"/>
        </w:rPr>
        <w:t xml:space="preserve"> podejścia</w:t>
      </w:r>
      <w:r w:rsidR="00B66959">
        <w:rPr>
          <w:bCs w:val="0"/>
          <w:iCs/>
          <w:lang w:val="pl"/>
        </w:rPr>
        <w:t>, którego celem jest zwiększanie</w:t>
      </w:r>
      <w:r>
        <w:rPr>
          <w:bCs w:val="0"/>
          <w:iCs/>
          <w:lang w:val="pl"/>
        </w:rPr>
        <w:t xml:space="preserve"> szans edukacyjnych wszystkich osób uczących się.</w:t>
      </w:r>
    </w:p>
    <w:p w14:paraId="50B1EFD1" w14:textId="77777777" w:rsidR="00372EC5" w:rsidRPr="005C1058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B66959">
        <w:rPr>
          <w:lang w:val="pl"/>
        </w:rPr>
        <w:t xml:space="preserve"> ta </w:t>
      </w:r>
      <w:r>
        <w:rPr>
          <w:lang w:val="pl"/>
        </w:rPr>
        <w:t xml:space="preserve">koncentruje się na zapewnieniu jednoznacznego, wspólnego rozumienia tego, jak </w:t>
      </w:r>
      <w:r>
        <w:rPr>
          <w:szCs w:val="28"/>
          <w:lang w:val="pl"/>
        </w:rPr>
        <w:t xml:space="preserve">wygląda w praktyce wysokiej jakości edukacja włączająca, która jest dostępna dla wszystkich. </w:t>
      </w:r>
      <w:r>
        <w:rPr>
          <w:lang w:val="pl"/>
        </w:rPr>
        <w:t xml:space="preserve">Skupia się na </w:t>
      </w:r>
      <w:r>
        <w:rPr>
          <w:szCs w:val="28"/>
          <w:lang w:val="pl"/>
        </w:rPr>
        <w:t xml:space="preserve">zauważalnej rozbieżności między przepisami (prawem i polityką edukacyjną) a praktyką. </w:t>
      </w:r>
    </w:p>
    <w:p w14:paraId="554A0356" w14:textId="77777777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>2. Polityka edukacyjna powinna wyraźnie zaznaczać, że skuteczne systemowe wdrażanie edukacji włączającej stanowi wspólny obowiązek wszystkich kadr systemu edukacji (nauczycieli, dyrektorów szkół i pracowników pomocniczych) oraz decydentów na szczeblu krajowym, regionalnym i lokalnym.</w:t>
      </w:r>
    </w:p>
    <w:p w14:paraId="136ECEFD" w14:textId="4D70783A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koncentruje się na podkreśleniu wspólnego obowiązku wszystkich nauczycieli, dyrektorów i decydentów w zakresie realizacji wizji i celów związanych z edukacją włączającą. Skupia się również na wspieraniu tych podmiotów, </w:t>
      </w:r>
      <w:r w:rsidR="00925CA2">
        <w:rPr>
          <w:lang w:val="pl"/>
        </w:rPr>
        <w:t>tak, aby</w:t>
      </w:r>
      <w:r>
        <w:rPr>
          <w:lang w:val="pl"/>
        </w:rPr>
        <w:t xml:space="preserve"> </w:t>
      </w:r>
      <w:r>
        <w:rPr>
          <w:lang w:val="pl"/>
        </w:rPr>
        <w:lastRenderedPageBreak/>
        <w:t xml:space="preserve">rozumiały, że edukacja włączająca służy zwiększaniu szans edukacyjnych wszystkich osób uczących się i tak powinna być realizowana w praktyce. </w:t>
      </w:r>
    </w:p>
    <w:p w14:paraId="1D078419" w14:textId="018D2402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3. Polityka edukacyjna powinna określać strategie systematycznego poszukiwania najskuteczniejszych sposobów zapewniania wszystkim osobom uczącym </w:t>
      </w:r>
      <w:r w:rsidR="00925CA2">
        <w:rPr>
          <w:bCs w:val="0"/>
          <w:iCs/>
          <w:lang w:val="pl"/>
        </w:rPr>
        <w:t>się – niezależnie</w:t>
      </w:r>
      <w:r>
        <w:rPr>
          <w:bCs w:val="0"/>
          <w:iCs/>
          <w:lang w:val="pl"/>
        </w:rPr>
        <w:t xml:space="preserve"> od ich wieku - wysokiej jakości oferty edukacyjnej w lokalnej społeczności, wśród przyjaciół i rówieśników.</w:t>
      </w:r>
    </w:p>
    <w:p w14:paraId="446371CC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koncentruje się na systematycznym zbieraniu i upowszechnianiu danych wskazujących na to, co dobrze funkcjonuje w edukacji włączającej. </w:t>
      </w:r>
    </w:p>
    <w:p w14:paraId="36117A39" w14:textId="77777777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color w:val="000000"/>
          <w:lang w:val="pl"/>
        </w:rPr>
        <w:t xml:space="preserve">4. Polityka edukacyjna powinna określać </w:t>
      </w:r>
      <w:r>
        <w:rPr>
          <w:bCs w:val="0"/>
          <w:iCs/>
          <w:lang w:val="pl"/>
        </w:rPr>
        <w:t>szczegółowe wytyczne w zakresie praktycznej realizacji edukacji włączającej.</w:t>
      </w:r>
    </w:p>
    <w:p w14:paraId="578AB1C0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wskazuje potrzebę opracowywania różnych form materiałów i informacji pomocniczych, które ukierunkowują pracę różnych podmiotów na urzeczywistnienie edukacji włączającej. </w:t>
      </w:r>
    </w:p>
    <w:p w14:paraId="7ED1F2CE" w14:textId="77777777" w:rsidR="00372EC5" w:rsidRDefault="00243100">
      <w:pPr>
        <w:pStyle w:val="Agency-heading-3"/>
        <w:jc w:val="both"/>
        <w:rPr>
          <w:lang w:val="pl-PL"/>
        </w:rPr>
      </w:pPr>
      <w:r>
        <w:rPr>
          <w:bCs/>
          <w:lang w:val="pl"/>
        </w:rPr>
        <w:t xml:space="preserve">Rekomendacje dotyczące budowania potencjału systemu edukacji włączającej </w:t>
      </w:r>
    </w:p>
    <w:p w14:paraId="575CC3CB" w14:textId="77777777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>5. Polityka edukacyjna powinna zapewniać jednakowe rozumienie przez wszystkie podmioty na szczeblu krajowym, regionalnym i lokalnym tego, czym jest różnorodność uczniów, edukacja włączająca, jak również celów wynikających z przepisów prawa oraz kierunków polityki edukacyjnej.</w:t>
      </w:r>
    </w:p>
    <w:p w14:paraId="1CD01F6F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koncentruje się na opracowywaniu i realizacji strategii mającej na celu poprawę współpracy i komunikacji między ministerstwami, władzami regionalnymi i lokalnymi a szkołami w celu umożliwienia personelowi na każdym szczeblu skutecznej pracy na rzecz realizowania wspólnego celu w oparciu o klarowne i jednakowe rozumienie tego, czym jest edukacja włączająca. </w:t>
      </w:r>
    </w:p>
    <w:p w14:paraId="7752B33F" w14:textId="77777777" w:rsidR="00372EC5" w:rsidRPr="005C1058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6. Polityka edukacyjna powinna zapewniać, aby strategie, mechanizmy i działania dotyczące budowania potencjału systemu edukacji włączającej koncentrowały się na realizacji prawa do równego dostępu do takiej edukacji dla wszystkich osób uczących się. </w:t>
      </w:r>
    </w:p>
    <w:p w14:paraId="3AB3747E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>Rekomendacja wskazuje na potrzebę odejścia polskiego systemu zapewniania wsparcia od koncentrowania się na zaspokajaniu potrzeb uczniów, których specjalne potrzeby edukacyjne i/lub niepełnosprawność zostały udokumentowane, na rzecz zapewnienia wysokiej jakości oferty edukacyjnej każdej osobie uczącej się.</w:t>
      </w:r>
    </w:p>
    <w:p w14:paraId="1188E250" w14:textId="2D1A88D5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7. Polityka </w:t>
      </w:r>
      <w:r w:rsidR="005C1058">
        <w:rPr>
          <w:bCs w:val="0"/>
          <w:iCs/>
          <w:lang w:val="pl"/>
        </w:rPr>
        <w:t xml:space="preserve">edukacyjna </w:t>
      </w:r>
      <w:r>
        <w:rPr>
          <w:bCs w:val="0"/>
          <w:iCs/>
          <w:lang w:val="pl"/>
        </w:rPr>
        <w:t>powinna zapewniać dyrektorom szkół odpowiednie wsparcie umożliwiające im kierowanie procesem opracowywania i wdrażania strategii mających na celu rozwój edukacji włączającej.</w:t>
      </w:r>
    </w:p>
    <w:p w14:paraId="4B5ED70D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koncentruje się na zapewnianiu dyrektorom szkół dostępu do wsparcia, którego potrzebują, aby skutecznie rozwijać potencjał szkoły w celu zaspokajania szeregu zróżnicowanych potrzeb edukacyjnych uczniów i realizacji prawa każdego ucznia do edukacji włączającej. </w:t>
      </w:r>
    </w:p>
    <w:p w14:paraId="106CEC36" w14:textId="77777777" w:rsidR="00372EC5" w:rsidRDefault="00243100">
      <w:pPr>
        <w:pStyle w:val="Agency-heading-3"/>
        <w:rPr>
          <w:bCs/>
          <w:lang w:val="pl"/>
        </w:rPr>
      </w:pPr>
      <w:r>
        <w:rPr>
          <w:bCs/>
          <w:lang w:val="pl"/>
        </w:rPr>
        <w:t xml:space="preserve">Rekomendacje dotyczące zarządzania i finansowania  </w:t>
      </w:r>
    </w:p>
    <w:p w14:paraId="3DAE88F7" w14:textId="77777777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>8. Polityka edukacyjna powinna jasno definiować role i obowiązki poszczególnych podmiotów na szczeblu krajowym, r</w:t>
      </w:r>
      <w:bookmarkStart w:id="0" w:name="_GoBack"/>
      <w:bookmarkEnd w:id="0"/>
      <w:r>
        <w:rPr>
          <w:bCs w:val="0"/>
          <w:iCs/>
          <w:lang w:val="pl"/>
        </w:rPr>
        <w:t>egi</w:t>
      </w:r>
      <w:r>
        <w:rPr>
          <w:bCs w:val="0"/>
          <w:iCs/>
          <w:color w:val="000000"/>
          <w:lang w:val="pl"/>
        </w:rPr>
        <w:t xml:space="preserve">onalnym i lokalnym oraz komunikować je w sposób zrozumiały dla </w:t>
      </w:r>
      <w:r>
        <w:rPr>
          <w:bCs w:val="0"/>
          <w:iCs/>
          <w:lang w:val="pl"/>
        </w:rPr>
        <w:t>wszystkich uczestników procesu kształcenia, w tym rodziców i rodzin.</w:t>
      </w:r>
    </w:p>
    <w:p w14:paraId="6BC95228" w14:textId="77777777" w:rsidR="00372EC5" w:rsidRPr="005C1058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>Rekomendacja koncentruje się na zapewnianiu powszechnego, j</w:t>
      </w:r>
      <w:r w:rsidR="00B66959">
        <w:rPr>
          <w:lang w:val="pl"/>
        </w:rPr>
        <w:t xml:space="preserve">ednoznacznego zrozumienia ról i </w:t>
      </w:r>
      <w:r>
        <w:rPr>
          <w:lang w:val="pl"/>
        </w:rPr>
        <w:t xml:space="preserve">obowiązków związanych z realizacją polityki przez władze różnego szczebla. </w:t>
      </w:r>
    </w:p>
    <w:p w14:paraId="2561ADFC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9. Polityka edukacyjna powinna zapewniać wdrażanie mechanizmów finansowania i zarządzania zasobami, które promują ofertę edukacyjną jednakowo dostępną dla wszystkich osób uczących się.</w:t>
      </w:r>
    </w:p>
    <w:p w14:paraId="2F5C744A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określaniu sposobów elastycznego zarządzania zasobami w celu zapewnienia szerszego zakresu świadczeń w szkołach ogólnodostępnych. </w:t>
      </w:r>
    </w:p>
    <w:p w14:paraId="08E60943" w14:textId="77777777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>10. Polityka edukacyjna powinna obejmować strategię zmiany mechanizmów finansowania z koncentrujących się na kompensowaniu trudności na mechanizmy finansowania i zapewniania wsparcia skupiające się na profilaktyce i wczesnej interwencji.</w:t>
      </w:r>
    </w:p>
    <w:p w14:paraId="7BFE02AA" w14:textId="15C431A5" w:rsidR="00372EC5" w:rsidRPr="005C1058" w:rsidRDefault="00243100">
      <w:pPr>
        <w:pStyle w:val="Agency-body-text"/>
        <w:tabs>
          <w:tab w:val="left" w:pos="4878"/>
        </w:tabs>
        <w:jc w:val="both"/>
        <w:rPr>
          <w:lang w:val="pl-PL"/>
        </w:rPr>
      </w:pPr>
      <w:r>
        <w:rPr>
          <w:lang w:val="pl"/>
        </w:rPr>
        <w:t xml:space="preserve">Rekomendacja koncentruje się na ograniczaniu stosowania formalnych procedur identyfikacji potrzeb prowadzących do „etykietowania” </w:t>
      </w:r>
      <w:r w:rsidR="00925CA2">
        <w:rPr>
          <w:lang w:val="pl"/>
        </w:rPr>
        <w:t>uczniów, jako</w:t>
      </w:r>
      <w:r>
        <w:rPr>
          <w:lang w:val="pl"/>
        </w:rPr>
        <w:t xml:space="preserve"> podstawy uzyskiwania dostępu do wsparcia w przypadku występowania trudności w </w:t>
      </w:r>
      <w:r w:rsidR="00B66959">
        <w:rPr>
          <w:lang w:val="pl"/>
        </w:rPr>
        <w:t xml:space="preserve">uczeniu się/trudności </w:t>
      </w:r>
      <w:r>
        <w:rPr>
          <w:lang w:val="pl"/>
        </w:rPr>
        <w:t>szkol</w:t>
      </w:r>
      <w:r w:rsidR="005C1058">
        <w:rPr>
          <w:lang w:val="pl"/>
        </w:rPr>
        <w:t>n</w:t>
      </w:r>
      <w:r w:rsidR="00B66959">
        <w:rPr>
          <w:lang w:val="pl"/>
        </w:rPr>
        <w:t>ych</w:t>
      </w:r>
      <w:r>
        <w:rPr>
          <w:lang w:val="pl"/>
        </w:rPr>
        <w:t>.</w:t>
      </w:r>
    </w:p>
    <w:p w14:paraId="5AB91DDB" w14:textId="77777777" w:rsidR="00372EC5" w:rsidRDefault="00243100">
      <w:pPr>
        <w:pStyle w:val="Agency-heading-3"/>
        <w:rPr>
          <w:bCs/>
          <w:lang w:val="pl"/>
        </w:rPr>
      </w:pPr>
      <w:r>
        <w:rPr>
          <w:bCs/>
          <w:lang w:val="pl"/>
        </w:rPr>
        <w:t xml:space="preserve">Rekomendacje dotyczące monitorowania, zapewniania jakości i odpowiedzialności </w:t>
      </w:r>
    </w:p>
    <w:p w14:paraId="0ABB3C32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11. Polityka edukacyjna powinna określać strategię korzystania z dotychczasowej praktyki w celu „mapowania” informacji dostarczanych przez aktualnie istniejące mechanizmy monitorowania systemu i zapewniania jakości.</w:t>
      </w:r>
    </w:p>
    <w:p w14:paraId="4C00F147" w14:textId="6C94E4A4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>Rekomendacja koncentruje się na analizie istniejących mechanizmów monitorowania i </w:t>
      </w:r>
      <w:r w:rsidR="00925CA2">
        <w:rPr>
          <w:lang w:val="pl"/>
        </w:rPr>
        <w:t>zapewniania, jakości</w:t>
      </w:r>
      <w:r>
        <w:rPr>
          <w:lang w:val="pl"/>
        </w:rPr>
        <w:t xml:space="preserve"> oraz identyfikowaniu na podstawie dostarczanych informacji mocnych stron i wyzwań w celu kształtowania pracy zespołów szkolnych i decydentów. </w:t>
      </w:r>
    </w:p>
    <w:p w14:paraId="5B350396" w14:textId="4E444973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12. Polityka edukacyjna powinna określać strategię współpracy z zainteresowanymi środowiskami w celu opracowania tzw. ram odpowiedzialności – dokumentu, w którym pracę szkoły z różnymi grupami osób uczących się uznaje </w:t>
      </w:r>
      <w:r w:rsidR="00925CA2">
        <w:rPr>
          <w:bCs w:val="0"/>
          <w:iCs/>
          <w:lang w:val="pl"/>
        </w:rPr>
        <w:t>się, jako</w:t>
      </w:r>
      <w:r>
        <w:rPr>
          <w:bCs w:val="0"/>
          <w:iCs/>
          <w:lang w:val="pl"/>
        </w:rPr>
        <w:t xml:space="preserve"> wartość dodaną.</w:t>
      </w:r>
    </w:p>
    <w:p w14:paraId="1BD786AF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>Rekomendacja koncentruje się na identyfikowaniu i uzgadnianiu „ram odpowiedzialności” szkół – dokumentu, w którym uznaje się znaczenie zróżnicowanych form pracy z osobami uczącymi się, jak również zróżnicowanie efektów uczenia się i osiągnięć osób uczących się.</w:t>
      </w:r>
    </w:p>
    <w:p w14:paraId="36569E59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13. Polityka edukacyjna powinna określać strategie wspierania zespołów szkolnych w zakresie rozwijania procesów samokontroli i autoewaluacji w szkołach.</w:t>
      </w:r>
    </w:p>
    <w:p w14:paraId="34058DB5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>Rekomendacja koncentruje się na identyfikowaniu i rozwijaniu odpowiedzialności szkół przez odchodzenie od formalnej kontroli na rzecz różnych form kontroli własnej i autoewaluacji, które odzwierciedlają praktyczne znaczenie edukacji włączającej o wysokiej jakości.</w:t>
      </w:r>
    </w:p>
    <w:p w14:paraId="541A1645" w14:textId="77777777" w:rsidR="00372EC5" w:rsidRDefault="00243100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 dotyczące możliwości kształcenia i doskonalenia zawodowego</w:t>
      </w:r>
    </w:p>
    <w:p w14:paraId="07D533C8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14. Polityka edukacyjna powinna określać strategię dostosowania wszystkich możliwości w zakresie kształcenia, doskonalenia i rozwoju zawodowego do wizji polityki określającej, co oznacza edukacja włączająca o wysokiej jakości i na czym polega ona w praktyce.</w:t>
      </w:r>
    </w:p>
    <w:p w14:paraId="1930238D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systematycznej współpracy ze wszystkimi zainteresowanymi stronami mającej celu odejście od kształcenia i szkolenia skoncentrowanego na edukacji specjalnej na rzecz ukierunkowania </w:t>
      </w:r>
      <w:r w:rsidR="00B66959">
        <w:rPr>
          <w:lang w:val="pl"/>
        </w:rPr>
        <w:t xml:space="preserve">działań </w:t>
      </w:r>
      <w:r>
        <w:rPr>
          <w:lang w:val="pl"/>
        </w:rPr>
        <w:t xml:space="preserve">na potrzeby edukacji włączającej. </w:t>
      </w:r>
    </w:p>
    <w:p w14:paraId="66D08BEC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15. Polityka edukacyjna powinna określać zawierać strategię zapewniania dostępności kształcenia i doskonalenia zawodowego dla wszystkich nauczycieli, przekazującego im wartości i postawy, wiedzę i umiejętności potrzebne do skutecznej realizacji edukacji włączającej.</w:t>
      </w:r>
    </w:p>
    <w:p w14:paraId="6994C34F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długoterminowym rozwoju skoordynowanych i spójnych ram kształcenia i doskonalenia zawodowego zgodnych z wizją polityki w zakresie zapewnienia edukacji włączającej o wysokiej jakości. </w:t>
      </w:r>
    </w:p>
    <w:p w14:paraId="0B15A118" w14:textId="77777777" w:rsidR="00372EC5" w:rsidRDefault="00243100">
      <w:pPr>
        <w:pStyle w:val="Agency-heading-3"/>
        <w:rPr>
          <w:bCs/>
          <w:lang w:val="pl"/>
        </w:rPr>
      </w:pPr>
      <w:r>
        <w:rPr>
          <w:bCs/>
          <w:lang w:val="pl"/>
        </w:rPr>
        <w:t xml:space="preserve">Rekomendacje dotyczące warunków uczenia się i nauczania </w:t>
      </w:r>
    </w:p>
    <w:p w14:paraId="57D1BEB4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16. Polityka edukacyjna powinna określać strategię włączania wszystkich zainteresowanych stron w dialog na temat korzyści wynikających z rosnącej różnorodności osób uczących się.</w:t>
      </w:r>
    </w:p>
    <w:p w14:paraId="248DE6F2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wspieraniu zmian w sposobie myślenia i postawach, tak aby różnorodność osób uczących się była postrzegana jako pozytywne zjawisko przez wszystkie strony zainteresowane (pracowników jednostek systemu oświaty, osoby uczące się i ich rodziny, jak również szersze społeczności szkolne). </w:t>
      </w:r>
    </w:p>
    <w:p w14:paraId="72E18670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17. Polityka edukacyjna powinna określać strategię rozwijania zdolności poszczególnych podmiotów i środowisk szkolnych w zakresie całościowego postrzegania każdej osoby uczącej się.</w:t>
      </w:r>
    </w:p>
    <w:p w14:paraId="50EF5D30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koncentruje się na wspieraniu </w:t>
      </w:r>
      <w:r w:rsidR="00B66959">
        <w:rPr>
          <w:lang w:val="pl"/>
        </w:rPr>
        <w:t>wszystkich podmiotów i środowisk szkolnych</w:t>
      </w:r>
      <w:r>
        <w:rPr>
          <w:lang w:val="pl"/>
        </w:rPr>
        <w:t xml:space="preserve"> w zakresie opracowywania sposobów zapewniania i promowania skutecznego aktywizowania i uczestnictwa </w:t>
      </w:r>
      <w:r>
        <w:rPr>
          <w:szCs w:val="28"/>
          <w:lang w:val="pl"/>
        </w:rPr>
        <w:t>osób uczących się</w:t>
      </w:r>
      <w:r>
        <w:rPr>
          <w:lang w:val="pl"/>
        </w:rPr>
        <w:t xml:space="preserve">. </w:t>
      </w:r>
    </w:p>
    <w:p w14:paraId="09D6E6DD" w14:textId="0A5F73A1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18. Polityka edukacyjna powinna określać strategię poprawy zdolności </w:t>
      </w:r>
      <w:r w:rsidR="00B66959" w:rsidRPr="00B66959">
        <w:rPr>
          <w:bCs w:val="0"/>
          <w:iCs/>
          <w:lang w:val="pl"/>
        </w:rPr>
        <w:t xml:space="preserve">wszystkich podmiotów i środowisk szkolnych </w:t>
      </w:r>
      <w:r>
        <w:rPr>
          <w:bCs w:val="0"/>
          <w:iCs/>
          <w:lang w:val="pl"/>
        </w:rPr>
        <w:t xml:space="preserve">do </w:t>
      </w:r>
      <w:r w:rsidR="00925CA2">
        <w:rPr>
          <w:bCs w:val="0"/>
          <w:iCs/>
          <w:lang w:val="pl"/>
        </w:rPr>
        <w:t>pracy, jako</w:t>
      </w:r>
      <w:r>
        <w:rPr>
          <w:bCs w:val="0"/>
          <w:iCs/>
          <w:lang w:val="pl"/>
        </w:rPr>
        <w:t xml:space="preserve"> profesjonalne organizacje (wspólnoty) uczące się.</w:t>
      </w:r>
    </w:p>
    <w:p w14:paraId="14635965" w14:textId="77777777" w:rsidR="00372EC5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>Rekomendacja koncentruje się na promowaniu i rozwoju współpracy pomiędzy poszczególnymi podmiotami w obrębie szkoły oraz z innymi szkołami w lokalnej społeczności, naukowcami, władzami lokalnymi oraz decydentami.</w:t>
      </w:r>
    </w:p>
    <w:p w14:paraId="42693881" w14:textId="77777777" w:rsidR="00372EC5" w:rsidRDefault="00243100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 dotyczące ciągłości wsparcia</w:t>
      </w:r>
    </w:p>
    <w:p w14:paraId="59A98B46" w14:textId="77777777" w:rsidR="00372EC5" w:rsidRDefault="00243100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19. Polityka edukacyjna powinna określać strategię dostosowania pracy placówek specjalnych i specjalistycznych placówek systemu wsparcia do wizji </w:t>
      </w:r>
      <w:r>
        <w:rPr>
          <w:bCs w:val="0"/>
          <w:iCs/>
          <w:color w:val="000000"/>
          <w:lang w:val="pl"/>
        </w:rPr>
        <w:t>polityki i celów w</w:t>
      </w:r>
      <w:r w:rsidR="00B66959">
        <w:rPr>
          <w:bCs w:val="0"/>
          <w:iCs/>
          <w:color w:val="000000"/>
          <w:lang w:val="pl"/>
        </w:rPr>
        <w:t> </w:t>
      </w:r>
      <w:r>
        <w:rPr>
          <w:bCs w:val="0"/>
          <w:iCs/>
          <w:color w:val="000000"/>
          <w:lang w:val="pl"/>
        </w:rPr>
        <w:t xml:space="preserve">zakresie </w:t>
      </w:r>
      <w:r>
        <w:rPr>
          <w:bCs w:val="0"/>
          <w:iCs/>
          <w:lang w:val="pl"/>
        </w:rPr>
        <w:t xml:space="preserve">edukacji włączającej. </w:t>
      </w:r>
    </w:p>
    <w:p w14:paraId="5850D12C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rozwoju specjalistycznych </w:t>
      </w:r>
      <w:r>
        <w:rPr>
          <w:color w:val="auto"/>
          <w:lang w:val="pl"/>
        </w:rPr>
        <w:t xml:space="preserve">metod nauczania i oferty </w:t>
      </w:r>
      <w:r>
        <w:rPr>
          <w:lang w:val="pl"/>
        </w:rPr>
        <w:t xml:space="preserve">wsparcia, wzmacnianiu współpracy między kluczowymi grupami specjalistów na poziomie szkoły, tak aby mogli oni skutecznie wspierać realizację edukacji włączającej. </w:t>
      </w:r>
    </w:p>
    <w:p w14:paraId="2F756F89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20. Polityka edukacyjna powinna określać strategię rozwijania zdolności poszczególnych podmiotów w szkołach ogólnodostępnych w zakresie wczesnego rozpoznawania potrzeb edukacyjnych każdej osoby uczącej się.</w:t>
      </w:r>
    </w:p>
    <w:p w14:paraId="4744997C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rozwijaniu </w:t>
      </w:r>
      <w:r w:rsidR="00B66959">
        <w:rPr>
          <w:lang w:val="pl"/>
        </w:rPr>
        <w:t>kompetencji</w:t>
      </w:r>
      <w:r>
        <w:rPr>
          <w:lang w:val="pl"/>
        </w:rPr>
        <w:t xml:space="preserve"> </w:t>
      </w:r>
      <w:r w:rsidR="00B66959">
        <w:rPr>
          <w:lang w:val="pl"/>
        </w:rPr>
        <w:t>nauczycieli i specjalistów pracujących z uczniami</w:t>
      </w:r>
      <w:r>
        <w:rPr>
          <w:lang w:val="pl"/>
        </w:rPr>
        <w:t xml:space="preserve"> w zakresie wykorzystywania szeregu metod służących ocenie efektów uczenia się, która ukierunkuje ich dalszą pracę z osobami uczącymi się o</w:t>
      </w:r>
      <w:r w:rsidR="00B66959">
        <w:rPr>
          <w:lang w:val="pl"/>
        </w:rPr>
        <w:t> </w:t>
      </w:r>
      <w:r>
        <w:rPr>
          <w:lang w:val="pl"/>
        </w:rPr>
        <w:t xml:space="preserve">zróżnicowanych potrzebach. </w:t>
      </w:r>
    </w:p>
    <w:p w14:paraId="2DC10529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21. Polityka edukacyjna powinna określać strategię opracowania i zapewniania różnych form wsparcia w szkołach ogólnodostępnych, które można elastycznie wykorzystywać w</w:t>
      </w:r>
      <w:r w:rsidR="00B66959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zróżnicowany sposób w stosunku do różnych grup osób uczących się.</w:t>
      </w:r>
    </w:p>
    <w:p w14:paraId="60EFCAF0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zapewnianiu rozwoju elastycznego nauczania i zasobów w szkołach ogólnodostępnych. </w:t>
      </w:r>
    </w:p>
    <w:p w14:paraId="6A49393E" w14:textId="77777777" w:rsidR="00372EC5" w:rsidRDefault="00372EC5">
      <w:pPr>
        <w:pStyle w:val="Agency-body-text"/>
        <w:jc w:val="both"/>
        <w:rPr>
          <w:lang w:val="pl-PL"/>
        </w:rPr>
      </w:pPr>
    </w:p>
    <w:p w14:paraId="1625FA7C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W celu zapewnienia monitorowania i ukierunkowania wdrażania wszystkich powyższych rekomendacji w zakresie polityki edukacyjnej należy również zapewnić, aby przepisy prawa oświatowego wyraźnie koncentrowały się na edukacji włączającej. </w:t>
      </w:r>
    </w:p>
    <w:p w14:paraId="4A071D4B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>Podstawę realizacji wszystkich rekomendacji w zakresie polityki edukacyjnej stanowią poniższe zalecenia dotyczące przepisów prawa:</w:t>
      </w:r>
    </w:p>
    <w:p w14:paraId="0DFBB392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22. Prawo powinno określać zapewniać każdej osobie uczącej się jednakowe traktowanie w systemie oświaty.</w:t>
      </w:r>
    </w:p>
    <w:p w14:paraId="0C249C0B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potrzebie określenia w przepisach obowiązku zapewnienia każdej osobie uczącej się prawa do edukacji włączającej o wysokiej jakości. </w:t>
      </w:r>
    </w:p>
    <w:p w14:paraId="738307B8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23. Prawo powinno określać podstawowe zasady regulujące edukację włączającą.</w:t>
      </w:r>
    </w:p>
    <w:p w14:paraId="04CC00C1" w14:textId="77777777" w:rsidR="00372EC5" w:rsidRDefault="00243100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Rekomendacja koncentruje się na jednoznacznym zidentyfikowaniu i sformułowaniu wartości i przekonań stanowiących podstawę prawa w zakresie edukacji włączającej. </w:t>
      </w:r>
    </w:p>
    <w:p w14:paraId="2145969A" w14:textId="77777777" w:rsidR="00372EC5" w:rsidRDefault="00243100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>24. Przepisy prawa powinny wyjaśnić w zrozumiały sposób, czym jest edukacja włączająca.</w:t>
      </w:r>
    </w:p>
    <w:p w14:paraId="05AF450D" w14:textId="77777777" w:rsidR="00372EC5" w:rsidRPr="005C1058" w:rsidRDefault="00243100">
      <w:pPr>
        <w:pStyle w:val="Agency-body-text"/>
        <w:jc w:val="both"/>
        <w:rPr>
          <w:lang w:val="pl-PL"/>
        </w:rPr>
      </w:pPr>
      <w:r>
        <w:rPr>
          <w:lang w:val="pl"/>
        </w:rPr>
        <w:t xml:space="preserve">Rekomendacja koncentruje się na zapewnieniu zrozumiałych dla wszystkich zainteresowanych stron informacji o tym czym powinna się charakteryzować </w:t>
      </w:r>
      <w:r>
        <w:rPr>
          <w:szCs w:val="28"/>
          <w:lang w:val="pl"/>
        </w:rPr>
        <w:t>edukacja włączająca o wysokiej jakości dająca jednakowe szanse wszystkim uczącym się oraz jakich cech posiadać nie powinna.</w:t>
      </w:r>
    </w:p>
    <w:sectPr w:rsidR="00372EC5" w:rsidRPr="005C10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531" w:bottom="1276" w:left="1531" w:header="709" w:footer="8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C4461" w14:textId="77777777" w:rsidR="0035758A" w:rsidRDefault="0035758A">
      <w:r>
        <w:separator/>
      </w:r>
    </w:p>
  </w:endnote>
  <w:endnote w:type="continuationSeparator" w:id="0">
    <w:p w14:paraId="4577FE5C" w14:textId="77777777" w:rsidR="0035758A" w:rsidRDefault="0035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36E8F" w14:textId="77777777" w:rsidR="00372EC5" w:rsidRDefault="00243100">
    <w:pPr>
      <w:pStyle w:val="Agency-footer"/>
      <w:rPr>
        <w:lang w:val="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6F402E9B" wp14:editId="0C48EAF8">
              <wp:simplePos x="0" y="0"/>
              <wp:positionH relativeFrom="page">
                <wp:posOffset>6778625</wp:posOffset>
              </wp:positionH>
              <wp:positionV relativeFrom="paragraph">
                <wp:posOffset>26670</wp:posOffset>
              </wp:positionV>
              <wp:extent cx="78740" cy="186690"/>
              <wp:effectExtent l="0" t="0" r="0" b="0"/>
              <wp:wrapSquare wrapText="largest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8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A13272" w14:textId="77777777" w:rsidR="00372EC5" w:rsidRDefault="00243100">
                          <w:pPr>
                            <w:pStyle w:val="Zawartoramki"/>
                            <w:jc w:val="right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41456A">
                            <w:rPr>
                              <w:rFonts w:ascii="Calibri" w:hAns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533.75pt;margin-top:2.1pt;width:6.2pt;height:14.7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" filled="f" stroked="f">
              <v:textbox inset="0,0,0,0">
                <w:txbxContent>
                  <w:p w14:paraId="22A13272" w14:textId="77777777" w:rsidR="00372EC5" w:rsidRDefault="00243100">
                    <w:pPr>
                      <w:pStyle w:val="Zawartoramki"/>
                      <w:jc w:val="right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>PAGE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41456A">
                      <w:rPr>
                        <w:rFonts w:ascii="Calibri" w:hAnsi="Calibri"/>
                        <w:noProof/>
                      </w:rPr>
                      <w:t>3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lang w:val="pl"/>
      </w:rPr>
      <w:t xml:space="preserve">Zarys wstępnych rekomendacji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B26C" w14:textId="77777777" w:rsidR="00372EC5" w:rsidRDefault="00243100">
    <w:pPr>
      <w:pStyle w:val="Agency-footer"/>
      <w:rPr>
        <w:lang w:val="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69B0810B" wp14:editId="33536D9F">
              <wp:simplePos x="0" y="0"/>
              <wp:positionH relativeFrom="page">
                <wp:posOffset>6778625</wp:posOffset>
              </wp:positionH>
              <wp:positionV relativeFrom="paragraph">
                <wp:posOffset>635</wp:posOffset>
              </wp:positionV>
              <wp:extent cx="78740" cy="186690"/>
              <wp:effectExtent l="0" t="0" r="0" b="0"/>
              <wp:wrapSquare wrapText="largest"/>
              <wp:docPr id="5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8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7D6933" w14:textId="77777777" w:rsidR="00372EC5" w:rsidRDefault="00243100">
                          <w:pPr>
                            <w:pStyle w:val="Zawartoramki"/>
                            <w:jc w:val="right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35758A">
                            <w:rPr>
                              <w:rFonts w:ascii="Calibri" w:hAns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7" style="position:absolute;margin-left:533.75pt;margin-top:.05pt;width:6.2pt;height:14.7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" filled="f" stroked="f">
              <v:textbox inset="0,0,0,0">
                <w:txbxContent>
                  <w:p w14:paraId="667D6933" w14:textId="77777777" w:rsidR="00372EC5" w:rsidRDefault="00243100">
                    <w:pPr>
                      <w:pStyle w:val="Zawartoramki"/>
                      <w:jc w:val="right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>PAGE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35758A">
                      <w:rPr>
                        <w:rFonts w:ascii="Calibri" w:hAnsi="Calibri"/>
                        <w:noProof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lang w:val="pl"/>
      </w:rPr>
      <w:t xml:space="preserve">Zarys wstępnych zaleceń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5081" w14:textId="77777777" w:rsidR="0035758A" w:rsidRDefault="0035758A">
      <w:r>
        <w:separator/>
      </w:r>
    </w:p>
  </w:footnote>
  <w:footnote w:type="continuationSeparator" w:id="0">
    <w:p w14:paraId="6076540E" w14:textId="77777777" w:rsidR="0035758A" w:rsidRDefault="00357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E34DB" w14:textId="77777777" w:rsidR="00372EC5" w:rsidRDefault="00243100">
    <w:pPr>
      <w:jc w:val="center"/>
    </w:pPr>
    <w:r>
      <w:rPr>
        <w:noProof/>
        <w:lang w:val="pl-PL" w:eastAsia="pl-PL"/>
      </w:rPr>
      <w:drawing>
        <wp:inline distT="0" distB="0" distL="0" distR="0" wp14:anchorId="05908446" wp14:editId="142F2236">
          <wp:extent cx="5611495" cy="451485"/>
          <wp:effectExtent l="0" t="0" r="0" b="0"/>
          <wp:docPr id="1" name="Picture 8" descr="Header with Agency sun logo on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Header with Agency sun logo on righ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E74F4" w14:textId="77777777" w:rsidR="00372EC5" w:rsidRDefault="00372EC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071B7" w14:textId="77777777" w:rsidR="00372EC5" w:rsidRDefault="00243100">
    <w:r>
      <w:rPr>
        <w:noProof/>
        <w:lang w:val="pl-PL" w:eastAsia="pl-PL"/>
      </w:rPr>
      <w:drawing>
        <wp:inline distT="0" distB="0" distL="0" distR="0" wp14:anchorId="646AECE8" wp14:editId="750F5EB0">
          <wp:extent cx="5611495" cy="7702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C5"/>
    <w:rsid w:val="00062B11"/>
    <w:rsid w:val="000C6A4B"/>
    <w:rsid w:val="00243100"/>
    <w:rsid w:val="002E5A2F"/>
    <w:rsid w:val="0035758A"/>
    <w:rsid w:val="00372EC5"/>
    <w:rsid w:val="0041456A"/>
    <w:rsid w:val="005C1058"/>
    <w:rsid w:val="00925CA2"/>
    <w:rsid w:val="00927AAC"/>
    <w:rsid w:val="00B66959"/>
    <w:rsid w:val="00BD64D0"/>
    <w:rsid w:val="00C9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C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Nagwek3">
    <w:name w:val="heading 3"/>
    <w:basedOn w:val="Normalny"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Nagwek4">
    <w:name w:val="heading 4"/>
    <w:basedOn w:val="Normalny"/>
    <w:qFormat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Lucida Grande" w:hAnsi="Lucida Grande" w:cs="Lucida Grande"/>
      <w:sz w:val="18"/>
      <w:szCs w:val="18"/>
      <w:lang w:val="en-GB"/>
    </w:rPr>
  </w:style>
  <w:style w:type="character" w:customStyle="1" w:styleId="NagwekZnak">
    <w:name w:val="Nagłówek Znak"/>
    <w:qFormat/>
    <w:rPr>
      <w:sz w:val="24"/>
      <w:lang w:val="en-GB"/>
    </w:rPr>
  </w:style>
  <w:style w:type="character" w:customStyle="1" w:styleId="StopkaZnak">
    <w:name w:val="Stopka Znak"/>
    <w:qFormat/>
    <w:rPr>
      <w:sz w:val="24"/>
      <w:lang w:val="en-GB"/>
    </w:rPr>
  </w:style>
  <w:style w:type="character" w:customStyle="1" w:styleId="Nagwek4Znak">
    <w:name w:val="Nagłówek 4 Znak"/>
    <w:qFormat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ekstprzypisudolnegoZnak">
    <w:name w:val="Tekst przypisu dolnego Znak"/>
    <w:qFormat/>
    <w:rPr>
      <w:sz w:val="24"/>
      <w:szCs w:val="24"/>
      <w:lang w:val="en-GB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a-BodytextCharChar">
    <w:name w:val="ea-Body text Char Char"/>
    <w:qFormat/>
    <w:rPr>
      <w:rFonts w:ascii="Arial" w:hAnsi="Arial"/>
      <w:color w:val="000000"/>
      <w:sz w:val="24"/>
      <w:lang w:val="en-GB" w:eastAsia="en-US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ZwykytekstZnak">
    <w:name w:val="Zwykły tekst Znak"/>
    <w:basedOn w:val="Domylnaczcionkaakapitu"/>
    <w:qFormat/>
    <w:rPr>
      <w:rFonts w:ascii="Calibri" w:hAnsi="Calibri" w:cs="Times New Roman"/>
      <w:sz w:val="40"/>
      <w:szCs w:val="21"/>
    </w:rPr>
  </w:style>
  <w:style w:type="character" w:customStyle="1" w:styleId="apple-converted-space">
    <w:name w:val="apple-converted-space"/>
    <w:basedOn w:val="Domylnaczcionkaakapitu"/>
    <w:qFormat/>
  </w:style>
  <w:style w:type="character" w:customStyle="1" w:styleId="Nagwek1Znak">
    <w:name w:val="Nagłówek 1 Znak"/>
    <w:basedOn w:val="Domylnaczcionkaakapitu"/>
    <w:qFormat/>
    <w:rPr>
      <w:b/>
      <w:sz w:val="24"/>
    </w:rPr>
  </w:style>
  <w:style w:type="character" w:customStyle="1" w:styleId="UnresolvedMention">
    <w:name w:val="Unresolved Mention"/>
    <w:basedOn w:val="Domylnaczcionkaakapitu"/>
    <w:qFormat/>
    <w:rPr>
      <w:color w:val="605E5C"/>
      <w:highlight w:val="lightGray"/>
    </w:rPr>
  </w:style>
  <w:style w:type="character" w:styleId="UyteHipercze">
    <w:name w:val="FollowedHyperlink"/>
    <w:basedOn w:val="Domylnaczcionkaakapitu"/>
    <w:qFormat/>
    <w:rPr>
      <w:color w:val="800080"/>
      <w:u w:val="single"/>
    </w:rPr>
  </w:style>
  <w:style w:type="character" w:customStyle="1" w:styleId="Nagwek3Znak">
    <w:name w:val="Nagłówek 3 Znak"/>
    <w:qFormat/>
    <w:rPr>
      <w:rFonts w:ascii="Arial" w:hAnsi="Arial"/>
      <w:b/>
      <w:sz w:val="26"/>
      <w:szCs w:val="26"/>
    </w:rPr>
  </w:style>
  <w:style w:type="character" w:customStyle="1" w:styleId="Agency-body-textChar">
    <w:name w:val="Agency-body-text Char"/>
    <w:basedOn w:val="Domylnaczcionkaakapitu"/>
    <w:qFormat/>
    <w:rPr>
      <w:rFonts w:ascii="Calibri" w:hAnsi="Calibri"/>
      <w:color w:val="000000"/>
      <w:sz w:val="24"/>
    </w:rPr>
  </w:style>
  <w:style w:type="character" w:customStyle="1" w:styleId="TematkomentarzaZnak">
    <w:name w:val="Temat komentarza Znak"/>
    <w:basedOn w:val="TekstkomentarzaZnak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rPr>
      <w:rFonts w:ascii="Lucida Grande" w:hAnsi="Lucida Grande" w:cs="Lucida Grande"/>
      <w:sz w:val="18"/>
      <w:szCs w:val="18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Spistreci1">
    <w:name w:val="toc 1"/>
    <w:basedOn w:val="Normalny"/>
    <w:autoRedefine/>
    <w:pPr>
      <w:spacing w:before="120"/>
    </w:pPr>
    <w:rPr>
      <w:rFonts w:ascii="Calibri" w:hAnsi="Calibri"/>
      <w:b/>
      <w:caps/>
      <w:sz w:val="28"/>
      <w:szCs w:val="24"/>
    </w:rPr>
  </w:style>
  <w:style w:type="paragraph" w:styleId="Spistreci2">
    <w:name w:val="toc 2"/>
    <w:basedOn w:val="Normalny"/>
    <w:autoRedefine/>
    <w:pPr>
      <w:spacing w:before="120" w:after="120"/>
    </w:pPr>
    <w:rPr>
      <w:rFonts w:ascii="Calibri" w:hAnsi="Calibri"/>
      <w:sz w:val="28"/>
    </w:rPr>
  </w:style>
  <w:style w:type="paragraph" w:styleId="Spistreci3">
    <w:name w:val="toc 3"/>
    <w:basedOn w:val="Normalny"/>
    <w:autoRedefine/>
    <w:pPr>
      <w:ind w:left="238"/>
    </w:pPr>
    <w:rPr>
      <w:rFonts w:ascii="Calibri" w:hAnsi="Calibri"/>
      <w:i/>
      <w:sz w:val="28"/>
    </w:rPr>
  </w:style>
  <w:style w:type="paragraph" w:styleId="Spistreci4">
    <w:name w:val="toc 4"/>
    <w:basedOn w:val="Normalny"/>
    <w:autoRedefine/>
    <w:pPr>
      <w:ind w:left="480"/>
    </w:pPr>
    <w:rPr>
      <w:sz w:val="20"/>
    </w:rPr>
  </w:style>
  <w:style w:type="paragraph" w:styleId="Spistreci5">
    <w:name w:val="toc 5"/>
    <w:basedOn w:val="Normalny"/>
    <w:autoRedefine/>
    <w:pPr>
      <w:ind w:left="720"/>
    </w:pPr>
    <w:rPr>
      <w:sz w:val="20"/>
    </w:rPr>
  </w:style>
  <w:style w:type="paragraph" w:styleId="Spistreci6">
    <w:name w:val="toc 6"/>
    <w:basedOn w:val="Normalny"/>
    <w:autoRedefine/>
    <w:pPr>
      <w:ind w:left="960"/>
    </w:pPr>
    <w:rPr>
      <w:sz w:val="20"/>
    </w:rPr>
  </w:style>
  <w:style w:type="paragraph" w:styleId="Spistreci7">
    <w:name w:val="toc 7"/>
    <w:basedOn w:val="Normalny"/>
    <w:autoRedefine/>
    <w:pPr>
      <w:ind w:left="1200"/>
    </w:pPr>
    <w:rPr>
      <w:sz w:val="20"/>
    </w:rPr>
  </w:style>
  <w:style w:type="paragraph" w:styleId="Spistreci8">
    <w:name w:val="toc 8"/>
    <w:basedOn w:val="Normalny"/>
    <w:autoRedefine/>
    <w:pPr>
      <w:ind w:left="1440"/>
    </w:pPr>
    <w:rPr>
      <w:sz w:val="20"/>
    </w:rPr>
  </w:style>
  <w:style w:type="paragraph" w:styleId="Spistreci9">
    <w:name w:val="toc 9"/>
    <w:basedOn w:val="Normalny"/>
    <w:autoRedefine/>
    <w:pPr>
      <w:ind w:left="1680"/>
    </w:pPr>
    <w:rPr>
      <w:sz w:val="20"/>
    </w:rPr>
  </w:style>
  <w:style w:type="paragraph" w:customStyle="1" w:styleId="Agency-heading-1">
    <w:name w:val="Agency-heading-1"/>
    <w:basedOn w:val="Normalny"/>
    <w:qFormat/>
    <w:pPr>
      <w:keepNext/>
      <w:pBdr>
        <w:bottom w:val="single" w:sz="4" w:space="1" w:color="00000A"/>
      </w:pBdr>
      <w:spacing w:before="400" w:after="400"/>
      <w:outlineLvl w:val="0"/>
    </w:pPr>
    <w:rPr>
      <w:rFonts w:ascii="Calibri" w:hAnsi="Calibri"/>
      <w:b/>
      <w:bCs/>
      <w:caps/>
      <w:color w:val="000000"/>
      <w:sz w:val="40"/>
      <w:szCs w:val="40"/>
    </w:rPr>
  </w:style>
  <w:style w:type="paragraph" w:customStyle="1" w:styleId="Agency-heading-2">
    <w:name w:val="Agency-heading-2"/>
    <w:basedOn w:val="Normalny"/>
    <w:qFormat/>
    <w:pPr>
      <w:keepNext/>
      <w:pBdr>
        <w:bottom w:val="single" w:sz="8" w:space="1" w:color="00000A"/>
      </w:pBdr>
      <w:spacing w:before="320" w:after="240"/>
      <w:outlineLvl w:val="1"/>
    </w:pPr>
    <w:rPr>
      <w:rFonts w:ascii="Calibri" w:hAnsi="Calibri"/>
      <w:b/>
      <w:color w:val="000000"/>
      <w:sz w:val="32"/>
      <w:szCs w:val="28"/>
    </w:rPr>
  </w:style>
  <w:style w:type="paragraph" w:customStyle="1" w:styleId="Agency-heading-3">
    <w:name w:val="Agency-heading-3"/>
    <w:basedOn w:val="Normalny"/>
    <w:qFormat/>
    <w:pPr>
      <w:keepNext/>
      <w:spacing w:before="240" w:after="120"/>
      <w:outlineLvl w:val="2"/>
    </w:pPr>
    <w:rPr>
      <w:rFonts w:ascii="Calibri" w:hAnsi="Calibri"/>
      <w:b/>
      <w:color w:val="000000"/>
      <w:szCs w:val="26"/>
    </w:rPr>
  </w:style>
  <w:style w:type="paragraph" w:customStyle="1" w:styleId="Agency-heading-4">
    <w:name w:val="Agency-heading-4"/>
    <w:basedOn w:val="Normalny"/>
    <w:qFormat/>
    <w:pPr>
      <w:keepNext/>
      <w:spacing w:before="240" w:after="120"/>
      <w:outlineLvl w:val="3"/>
    </w:pPr>
    <w:rPr>
      <w:rFonts w:ascii="Calibri" w:hAnsi="Calibri"/>
      <w:bCs/>
      <w:i/>
      <w:szCs w:val="28"/>
    </w:rPr>
  </w:style>
  <w:style w:type="paragraph" w:customStyle="1" w:styleId="Agency-caption">
    <w:name w:val="Agency-caption"/>
    <w:basedOn w:val="Normalny"/>
    <w:qFormat/>
    <w:pPr>
      <w:spacing w:before="240" w:after="240"/>
    </w:pPr>
    <w:rPr>
      <w:rFonts w:ascii="Calibri" w:hAnsi="Calibri"/>
      <w:b/>
      <w:bCs/>
      <w:sz w:val="22"/>
      <w:szCs w:val="18"/>
    </w:rPr>
  </w:style>
  <w:style w:type="paragraph" w:customStyle="1" w:styleId="Agency-footer">
    <w:name w:val="Agency-footer"/>
    <w:basedOn w:val="Normalny"/>
    <w:qFormat/>
    <w:rPr>
      <w:rFonts w:ascii="Calibri" w:hAnsi="Calibri"/>
      <w:color w:val="000000"/>
      <w:sz w:val="22"/>
    </w:rPr>
  </w:style>
  <w:style w:type="paragraph" w:customStyle="1" w:styleId="Agency-footnote">
    <w:name w:val="Agency-footnote"/>
    <w:basedOn w:val="Normalny"/>
    <w:qFormat/>
    <w:pPr>
      <w:spacing w:before="120" w:after="120"/>
    </w:pPr>
    <w:rPr>
      <w:rFonts w:ascii="Calibri" w:hAnsi="Calibri"/>
      <w:color w:val="000000"/>
      <w:sz w:val="20"/>
      <w:szCs w:val="24"/>
    </w:rPr>
  </w:style>
  <w:style w:type="paragraph" w:customStyle="1" w:styleId="Agency-body-text">
    <w:name w:val="Agency-body-text"/>
    <w:basedOn w:val="Normalny"/>
    <w:qFormat/>
    <w:pPr>
      <w:spacing w:before="120" w:after="120"/>
    </w:pPr>
    <w:rPr>
      <w:rFonts w:ascii="Calibri" w:hAnsi="Calibri"/>
      <w:color w:val="000000"/>
    </w:rPr>
  </w:style>
  <w:style w:type="paragraph" w:styleId="Tekstprzypisudolnego">
    <w:name w:val="footnote text"/>
    <w:basedOn w:val="Normalny"/>
    <w:rPr>
      <w:szCs w:val="24"/>
    </w:rPr>
  </w:style>
  <w:style w:type="paragraph" w:styleId="Tekstkomentarza">
    <w:name w:val="annotation text"/>
    <w:basedOn w:val="Normalny"/>
    <w:qFormat/>
    <w:rPr>
      <w:sz w:val="20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MS Mincho"/>
      <w:szCs w:val="24"/>
    </w:rPr>
  </w:style>
  <w:style w:type="paragraph" w:styleId="Zwykytekst">
    <w:name w:val="Plain Text"/>
    <w:basedOn w:val="Normalny"/>
    <w:qFormat/>
    <w:rPr>
      <w:rFonts w:ascii="Calibri" w:hAnsi="Calibri"/>
      <w:sz w:val="40"/>
      <w:szCs w:val="21"/>
    </w:rPr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val="pl-PL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Nagwek3">
    <w:name w:val="heading 3"/>
    <w:basedOn w:val="Normalny"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Nagwek4">
    <w:name w:val="heading 4"/>
    <w:basedOn w:val="Normalny"/>
    <w:qFormat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Lucida Grande" w:hAnsi="Lucida Grande" w:cs="Lucida Grande"/>
      <w:sz w:val="18"/>
      <w:szCs w:val="18"/>
      <w:lang w:val="en-GB"/>
    </w:rPr>
  </w:style>
  <w:style w:type="character" w:customStyle="1" w:styleId="NagwekZnak">
    <w:name w:val="Nagłówek Znak"/>
    <w:qFormat/>
    <w:rPr>
      <w:sz w:val="24"/>
      <w:lang w:val="en-GB"/>
    </w:rPr>
  </w:style>
  <w:style w:type="character" w:customStyle="1" w:styleId="StopkaZnak">
    <w:name w:val="Stopka Znak"/>
    <w:qFormat/>
    <w:rPr>
      <w:sz w:val="24"/>
      <w:lang w:val="en-GB"/>
    </w:rPr>
  </w:style>
  <w:style w:type="character" w:customStyle="1" w:styleId="Nagwek4Znak">
    <w:name w:val="Nagłówek 4 Znak"/>
    <w:qFormat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ekstprzypisudolnegoZnak">
    <w:name w:val="Tekst przypisu dolnego Znak"/>
    <w:qFormat/>
    <w:rPr>
      <w:sz w:val="24"/>
      <w:szCs w:val="24"/>
      <w:lang w:val="en-GB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a-BodytextCharChar">
    <w:name w:val="ea-Body text Char Char"/>
    <w:qFormat/>
    <w:rPr>
      <w:rFonts w:ascii="Arial" w:hAnsi="Arial"/>
      <w:color w:val="000000"/>
      <w:sz w:val="24"/>
      <w:lang w:val="en-GB" w:eastAsia="en-US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ZwykytekstZnak">
    <w:name w:val="Zwykły tekst Znak"/>
    <w:basedOn w:val="Domylnaczcionkaakapitu"/>
    <w:qFormat/>
    <w:rPr>
      <w:rFonts w:ascii="Calibri" w:hAnsi="Calibri" w:cs="Times New Roman"/>
      <w:sz w:val="40"/>
      <w:szCs w:val="21"/>
    </w:rPr>
  </w:style>
  <w:style w:type="character" w:customStyle="1" w:styleId="apple-converted-space">
    <w:name w:val="apple-converted-space"/>
    <w:basedOn w:val="Domylnaczcionkaakapitu"/>
    <w:qFormat/>
  </w:style>
  <w:style w:type="character" w:customStyle="1" w:styleId="Nagwek1Znak">
    <w:name w:val="Nagłówek 1 Znak"/>
    <w:basedOn w:val="Domylnaczcionkaakapitu"/>
    <w:qFormat/>
    <w:rPr>
      <w:b/>
      <w:sz w:val="24"/>
    </w:rPr>
  </w:style>
  <w:style w:type="character" w:customStyle="1" w:styleId="UnresolvedMention">
    <w:name w:val="Unresolved Mention"/>
    <w:basedOn w:val="Domylnaczcionkaakapitu"/>
    <w:qFormat/>
    <w:rPr>
      <w:color w:val="605E5C"/>
      <w:highlight w:val="lightGray"/>
    </w:rPr>
  </w:style>
  <w:style w:type="character" w:styleId="UyteHipercze">
    <w:name w:val="FollowedHyperlink"/>
    <w:basedOn w:val="Domylnaczcionkaakapitu"/>
    <w:qFormat/>
    <w:rPr>
      <w:color w:val="800080"/>
      <w:u w:val="single"/>
    </w:rPr>
  </w:style>
  <w:style w:type="character" w:customStyle="1" w:styleId="Nagwek3Znak">
    <w:name w:val="Nagłówek 3 Znak"/>
    <w:qFormat/>
    <w:rPr>
      <w:rFonts w:ascii="Arial" w:hAnsi="Arial"/>
      <w:b/>
      <w:sz w:val="26"/>
      <w:szCs w:val="26"/>
    </w:rPr>
  </w:style>
  <w:style w:type="character" w:customStyle="1" w:styleId="Agency-body-textChar">
    <w:name w:val="Agency-body-text Char"/>
    <w:basedOn w:val="Domylnaczcionkaakapitu"/>
    <w:qFormat/>
    <w:rPr>
      <w:rFonts w:ascii="Calibri" w:hAnsi="Calibri"/>
      <w:color w:val="000000"/>
      <w:sz w:val="24"/>
    </w:rPr>
  </w:style>
  <w:style w:type="character" w:customStyle="1" w:styleId="TematkomentarzaZnak">
    <w:name w:val="Temat komentarza Znak"/>
    <w:basedOn w:val="TekstkomentarzaZnak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rPr>
      <w:rFonts w:ascii="Lucida Grande" w:hAnsi="Lucida Grande" w:cs="Lucida Grande"/>
      <w:sz w:val="18"/>
      <w:szCs w:val="18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Spistreci1">
    <w:name w:val="toc 1"/>
    <w:basedOn w:val="Normalny"/>
    <w:autoRedefine/>
    <w:pPr>
      <w:spacing w:before="120"/>
    </w:pPr>
    <w:rPr>
      <w:rFonts w:ascii="Calibri" w:hAnsi="Calibri"/>
      <w:b/>
      <w:caps/>
      <w:sz w:val="28"/>
      <w:szCs w:val="24"/>
    </w:rPr>
  </w:style>
  <w:style w:type="paragraph" w:styleId="Spistreci2">
    <w:name w:val="toc 2"/>
    <w:basedOn w:val="Normalny"/>
    <w:autoRedefine/>
    <w:pPr>
      <w:spacing w:before="120" w:after="120"/>
    </w:pPr>
    <w:rPr>
      <w:rFonts w:ascii="Calibri" w:hAnsi="Calibri"/>
      <w:sz w:val="28"/>
    </w:rPr>
  </w:style>
  <w:style w:type="paragraph" w:styleId="Spistreci3">
    <w:name w:val="toc 3"/>
    <w:basedOn w:val="Normalny"/>
    <w:autoRedefine/>
    <w:pPr>
      <w:ind w:left="238"/>
    </w:pPr>
    <w:rPr>
      <w:rFonts w:ascii="Calibri" w:hAnsi="Calibri"/>
      <w:i/>
      <w:sz w:val="28"/>
    </w:rPr>
  </w:style>
  <w:style w:type="paragraph" w:styleId="Spistreci4">
    <w:name w:val="toc 4"/>
    <w:basedOn w:val="Normalny"/>
    <w:autoRedefine/>
    <w:pPr>
      <w:ind w:left="480"/>
    </w:pPr>
    <w:rPr>
      <w:sz w:val="20"/>
    </w:rPr>
  </w:style>
  <w:style w:type="paragraph" w:styleId="Spistreci5">
    <w:name w:val="toc 5"/>
    <w:basedOn w:val="Normalny"/>
    <w:autoRedefine/>
    <w:pPr>
      <w:ind w:left="720"/>
    </w:pPr>
    <w:rPr>
      <w:sz w:val="20"/>
    </w:rPr>
  </w:style>
  <w:style w:type="paragraph" w:styleId="Spistreci6">
    <w:name w:val="toc 6"/>
    <w:basedOn w:val="Normalny"/>
    <w:autoRedefine/>
    <w:pPr>
      <w:ind w:left="960"/>
    </w:pPr>
    <w:rPr>
      <w:sz w:val="20"/>
    </w:rPr>
  </w:style>
  <w:style w:type="paragraph" w:styleId="Spistreci7">
    <w:name w:val="toc 7"/>
    <w:basedOn w:val="Normalny"/>
    <w:autoRedefine/>
    <w:pPr>
      <w:ind w:left="1200"/>
    </w:pPr>
    <w:rPr>
      <w:sz w:val="20"/>
    </w:rPr>
  </w:style>
  <w:style w:type="paragraph" w:styleId="Spistreci8">
    <w:name w:val="toc 8"/>
    <w:basedOn w:val="Normalny"/>
    <w:autoRedefine/>
    <w:pPr>
      <w:ind w:left="1440"/>
    </w:pPr>
    <w:rPr>
      <w:sz w:val="20"/>
    </w:rPr>
  </w:style>
  <w:style w:type="paragraph" w:styleId="Spistreci9">
    <w:name w:val="toc 9"/>
    <w:basedOn w:val="Normalny"/>
    <w:autoRedefine/>
    <w:pPr>
      <w:ind w:left="1680"/>
    </w:pPr>
    <w:rPr>
      <w:sz w:val="20"/>
    </w:rPr>
  </w:style>
  <w:style w:type="paragraph" w:customStyle="1" w:styleId="Agency-heading-1">
    <w:name w:val="Agency-heading-1"/>
    <w:basedOn w:val="Normalny"/>
    <w:qFormat/>
    <w:pPr>
      <w:keepNext/>
      <w:pBdr>
        <w:bottom w:val="single" w:sz="4" w:space="1" w:color="00000A"/>
      </w:pBdr>
      <w:spacing w:before="400" w:after="400"/>
      <w:outlineLvl w:val="0"/>
    </w:pPr>
    <w:rPr>
      <w:rFonts w:ascii="Calibri" w:hAnsi="Calibri"/>
      <w:b/>
      <w:bCs/>
      <w:caps/>
      <w:color w:val="000000"/>
      <w:sz w:val="40"/>
      <w:szCs w:val="40"/>
    </w:rPr>
  </w:style>
  <w:style w:type="paragraph" w:customStyle="1" w:styleId="Agency-heading-2">
    <w:name w:val="Agency-heading-2"/>
    <w:basedOn w:val="Normalny"/>
    <w:qFormat/>
    <w:pPr>
      <w:keepNext/>
      <w:pBdr>
        <w:bottom w:val="single" w:sz="8" w:space="1" w:color="00000A"/>
      </w:pBdr>
      <w:spacing w:before="320" w:after="240"/>
      <w:outlineLvl w:val="1"/>
    </w:pPr>
    <w:rPr>
      <w:rFonts w:ascii="Calibri" w:hAnsi="Calibri"/>
      <w:b/>
      <w:color w:val="000000"/>
      <w:sz w:val="32"/>
      <w:szCs w:val="28"/>
    </w:rPr>
  </w:style>
  <w:style w:type="paragraph" w:customStyle="1" w:styleId="Agency-heading-3">
    <w:name w:val="Agency-heading-3"/>
    <w:basedOn w:val="Normalny"/>
    <w:qFormat/>
    <w:pPr>
      <w:keepNext/>
      <w:spacing w:before="240" w:after="120"/>
      <w:outlineLvl w:val="2"/>
    </w:pPr>
    <w:rPr>
      <w:rFonts w:ascii="Calibri" w:hAnsi="Calibri"/>
      <w:b/>
      <w:color w:val="000000"/>
      <w:szCs w:val="26"/>
    </w:rPr>
  </w:style>
  <w:style w:type="paragraph" w:customStyle="1" w:styleId="Agency-heading-4">
    <w:name w:val="Agency-heading-4"/>
    <w:basedOn w:val="Normalny"/>
    <w:qFormat/>
    <w:pPr>
      <w:keepNext/>
      <w:spacing w:before="240" w:after="120"/>
      <w:outlineLvl w:val="3"/>
    </w:pPr>
    <w:rPr>
      <w:rFonts w:ascii="Calibri" w:hAnsi="Calibri"/>
      <w:bCs/>
      <w:i/>
      <w:szCs w:val="28"/>
    </w:rPr>
  </w:style>
  <w:style w:type="paragraph" w:customStyle="1" w:styleId="Agency-caption">
    <w:name w:val="Agency-caption"/>
    <w:basedOn w:val="Normalny"/>
    <w:qFormat/>
    <w:pPr>
      <w:spacing w:before="240" w:after="240"/>
    </w:pPr>
    <w:rPr>
      <w:rFonts w:ascii="Calibri" w:hAnsi="Calibri"/>
      <w:b/>
      <w:bCs/>
      <w:sz w:val="22"/>
      <w:szCs w:val="18"/>
    </w:rPr>
  </w:style>
  <w:style w:type="paragraph" w:customStyle="1" w:styleId="Agency-footer">
    <w:name w:val="Agency-footer"/>
    <w:basedOn w:val="Normalny"/>
    <w:qFormat/>
    <w:rPr>
      <w:rFonts w:ascii="Calibri" w:hAnsi="Calibri"/>
      <w:color w:val="000000"/>
      <w:sz w:val="22"/>
    </w:rPr>
  </w:style>
  <w:style w:type="paragraph" w:customStyle="1" w:styleId="Agency-footnote">
    <w:name w:val="Agency-footnote"/>
    <w:basedOn w:val="Normalny"/>
    <w:qFormat/>
    <w:pPr>
      <w:spacing w:before="120" w:after="120"/>
    </w:pPr>
    <w:rPr>
      <w:rFonts w:ascii="Calibri" w:hAnsi="Calibri"/>
      <w:color w:val="000000"/>
      <w:sz w:val="20"/>
      <w:szCs w:val="24"/>
    </w:rPr>
  </w:style>
  <w:style w:type="paragraph" w:customStyle="1" w:styleId="Agency-body-text">
    <w:name w:val="Agency-body-text"/>
    <w:basedOn w:val="Normalny"/>
    <w:qFormat/>
    <w:pPr>
      <w:spacing w:before="120" w:after="120"/>
    </w:pPr>
    <w:rPr>
      <w:rFonts w:ascii="Calibri" w:hAnsi="Calibri"/>
      <w:color w:val="000000"/>
    </w:rPr>
  </w:style>
  <w:style w:type="paragraph" w:styleId="Tekstprzypisudolnego">
    <w:name w:val="footnote text"/>
    <w:basedOn w:val="Normalny"/>
    <w:rPr>
      <w:szCs w:val="24"/>
    </w:rPr>
  </w:style>
  <w:style w:type="paragraph" w:styleId="Tekstkomentarza">
    <w:name w:val="annotation text"/>
    <w:basedOn w:val="Normalny"/>
    <w:qFormat/>
    <w:rPr>
      <w:sz w:val="20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MS Mincho"/>
      <w:szCs w:val="24"/>
    </w:rPr>
  </w:style>
  <w:style w:type="paragraph" w:styleId="Zwykytekst">
    <w:name w:val="Plain Text"/>
    <w:basedOn w:val="Normalny"/>
    <w:qFormat/>
    <w:rPr>
      <w:rFonts w:ascii="Calibri" w:hAnsi="Calibri"/>
      <w:sz w:val="40"/>
      <w:szCs w:val="21"/>
    </w:rPr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val="pl-PL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87C5-3C0E-4F55-830C-7536712D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1821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European Agency for Special Needs and Inclusive Education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Watkins</dc:creator>
  <cp:lastModifiedBy>Agata Jarnutowska-Wrzodak</cp:lastModifiedBy>
  <cp:revision>2</cp:revision>
  <cp:lastPrinted>2009-05-04T16:34:00Z</cp:lastPrinted>
  <dcterms:created xsi:type="dcterms:W3CDTF">2018-11-29T14:45:00Z</dcterms:created>
  <dcterms:modified xsi:type="dcterms:W3CDTF">2018-11-29T14:45:00Z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European Agency for Special Needs and Inclusive Education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